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6"/>
        <w:tabs>
          <w:tab w:val="right" w:pos="9639"/>
        </w:tabs>
        <w:spacing w:after="0"/>
        <w:rPr>
          <w:rFonts w:hint="default" w:eastAsia="宋体"/>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b/>
          <w:i/>
          <w:sz w:val="28"/>
          <w:lang w:val="en-US" w:eastAsia="zh-CN"/>
        </w:rPr>
        <w:t>0394</w:t>
      </w:r>
    </w:p>
    <w:p>
      <w:pPr>
        <w:pStyle w:val="62"/>
        <w:rPr>
          <w:sz w:val="22"/>
          <w:szCs w:val="22"/>
        </w:rPr>
      </w:pPr>
      <w:r>
        <w:rPr>
          <w:sz w:val="24"/>
        </w:rPr>
        <w:t>Sevilla, Spain, 29 January - 02 February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Unicom, Huawei</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b/>
          <w:lang w:val="en-US"/>
        </w:rPr>
        <w:t xml:space="preserve">Discussion paper on charging </w:t>
      </w:r>
      <w:r>
        <w:rPr>
          <w:rFonts w:hint="eastAsia" w:ascii="Arial" w:hAnsi="Arial"/>
          <w:b/>
          <w:lang w:val="en-US" w:eastAsia="zh-CN"/>
        </w:rPr>
        <w:t>enhancement</w:t>
      </w:r>
      <w:r>
        <w:rPr>
          <w:rFonts w:ascii="Arial" w:hAnsi="Arial"/>
          <w:b/>
          <w:lang w:val="en-US" w:eastAsia="zh-CN"/>
        </w:rPr>
        <w:t xml:space="preserve"> for particular UEs (hosts, guests) using the RGs in case of trusted N3GPP access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endorsement</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7.4.8</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60"/>
        <w:numPr>
          <w:ilvl w:val="0"/>
          <w:numId w:val="4"/>
        </w:numPr>
        <w:rPr>
          <w:color w:val="000000"/>
        </w:rPr>
      </w:pPr>
      <w:r>
        <w:rPr>
          <w:color w:val="000000"/>
        </w:rPr>
        <w:t>SP-231154</w:t>
      </w:r>
      <w:r>
        <w:rPr>
          <w:rFonts w:hint="eastAsia"/>
          <w:color w:val="000000"/>
          <w:lang w:val="en-US" w:eastAsia="zh-CN"/>
        </w:rPr>
        <w:t xml:space="preserve">: </w:t>
      </w:r>
      <w:r>
        <w:t>"</w:t>
      </w:r>
      <w:r>
        <w:rPr>
          <w:color w:val="000000"/>
        </w:rPr>
        <w:t>New WID on charging aspects on 5WWC phase 2</w:t>
      </w:r>
      <w:r>
        <w:t>"</w:t>
      </w:r>
      <w:r>
        <w:rPr>
          <w:rFonts w:hint="eastAsia"/>
          <w:lang w:val="en-US" w:eastAsia="zh-CN"/>
        </w:rPr>
        <w:t>.</w:t>
      </w:r>
    </w:p>
    <w:p>
      <w:pPr>
        <w:pStyle w:val="160"/>
        <w:numPr>
          <w:ilvl w:val="0"/>
          <w:numId w:val="4"/>
        </w:numPr>
        <w:rPr>
          <w:color w:val="000000"/>
        </w:rPr>
      </w:pPr>
      <w:r>
        <w:rPr>
          <w:color w:val="000000"/>
        </w:rPr>
        <w:t xml:space="preserve">3GPP TS </w:t>
      </w:r>
      <w:r>
        <w:rPr>
          <w:rFonts w:hint="eastAsia"/>
          <w:color w:val="000000"/>
          <w:lang w:val="en-US" w:eastAsia="zh-CN"/>
        </w:rPr>
        <w:t>32.255</w:t>
      </w:r>
      <w:r>
        <w:t>: "</w:t>
      </w:r>
      <w:r>
        <w:rPr>
          <w:rFonts w:hint="eastAsia"/>
          <w:color w:val="000000"/>
          <w:lang w:val="en-US" w:eastAsia="zh-CN"/>
        </w:rPr>
        <w:t>Telecommunication management; Charging management; 5G data connectivity domain charging; Stage 2</w:t>
      </w:r>
      <w:r>
        <w:t>"</w:t>
      </w:r>
      <w:r>
        <w:rPr>
          <w:rFonts w:hint="eastAsia"/>
          <w:lang w:val="en-US" w:eastAsia="zh-CN"/>
        </w:rPr>
        <w:t>.</w:t>
      </w:r>
    </w:p>
    <w:p>
      <w:pPr>
        <w:pStyle w:val="160"/>
        <w:rPr>
          <w:color w:val="000000"/>
          <w:lang w:val="en-US" w:eastAsia="zh-CN"/>
        </w:rPr>
      </w:pPr>
      <w:r>
        <w:rPr>
          <w:color w:val="000000"/>
        </w:rPr>
        <w:t>[</w:t>
      </w:r>
      <w:r>
        <w:rPr>
          <w:rFonts w:hint="eastAsia"/>
          <w:color w:val="000000"/>
          <w:lang w:val="en-US" w:eastAsia="zh-CN"/>
        </w:rPr>
        <w:t>3</w:t>
      </w:r>
      <w:r>
        <w:rPr>
          <w:color w:val="000000"/>
        </w:rPr>
        <w:t>]</w:t>
      </w:r>
      <w:r>
        <w:rPr>
          <w:color w:val="000000"/>
        </w:rPr>
        <w:tab/>
      </w:r>
      <w:r>
        <w:rPr>
          <w:color w:val="000000"/>
        </w:rPr>
        <w:t>3GPP TS 23.316</w:t>
      </w:r>
      <w:r>
        <w:t>: "</w:t>
      </w:r>
      <w:r>
        <w:rPr>
          <w:rFonts w:hint="eastAsia"/>
          <w:color w:val="000000"/>
          <w:lang w:val="en-US" w:eastAsia="zh-CN"/>
        </w:rPr>
        <w:t>Wireless and wireline convergence access support for the 5G System (5GS)</w:t>
      </w:r>
      <w:r>
        <w:t>"</w:t>
      </w:r>
      <w:r>
        <w:rPr>
          <w:rFonts w:hint="eastAsia"/>
          <w:lang w:val="en-US" w:eastAsia="zh-CN"/>
        </w:rPr>
        <w:t>.</w:t>
      </w:r>
    </w:p>
    <w:p>
      <w:pPr>
        <w:pStyle w:val="160"/>
        <w:rPr>
          <w:color w:val="000000"/>
          <w:lang w:val="en-US" w:eastAsia="zh-CN"/>
        </w:rPr>
      </w:pPr>
      <w:r>
        <w:rPr>
          <w:color w:val="000000"/>
        </w:rPr>
        <w:t>[</w:t>
      </w:r>
      <w:r>
        <w:rPr>
          <w:rFonts w:hint="eastAsia"/>
          <w:color w:val="000000"/>
          <w:lang w:val="en-US" w:eastAsia="zh-CN"/>
        </w:rPr>
        <w:t>4</w:t>
      </w:r>
      <w:r>
        <w:rPr>
          <w:color w:val="000000"/>
        </w:rPr>
        <w:t>]</w:t>
      </w:r>
      <w:r>
        <w:rPr>
          <w:color w:val="000000"/>
        </w:rPr>
        <w:tab/>
      </w:r>
      <w:r>
        <w:rPr>
          <w:color w:val="000000"/>
        </w:rPr>
        <w:t xml:space="preserve">3GPP TS </w:t>
      </w:r>
      <w:r>
        <w:rPr>
          <w:rFonts w:hint="eastAsia"/>
          <w:color w:val="000000"/>
          <w:lang w:val="en-US" w:eastAsia="zh-CN"/>
        </w:rPr>
        <w:t>32.291</w:t>
      </w:r>
      <w:r>
        <w:t>: "</w:t>
      </w:r>
      <w:r>
        <w:rPr>
          <w:rFonts w:hint="eastAsia"/>
          <w:color w:val="000000"/>
          <w:lang w:val="en-US" w:eastAsia="zh-CN"/>
        </w:rPr>
        <w:t>Telecommunication management; Charging management; 5G system, charging service; Stage 3</w:t>
      </w:r>
      <w:r>
        <w:t>"</w:t>
      </w:r>
      <w:r>
        <w:rPr>
          <w:rFonts w:hint="eastAsia"/>
          <w:lang w:val="en-US" w:eastAsia="zh-CN"/>
        </w:rPr>
        <w:t>.</w:t>
      </w:r>
    </w:p>
    <w:p>
      <w:pPr>
        <w:pStyle w:val="160"/>
        <w:rPr>
          <w:lang w:val="en-US" w:eastAsia="zh-CN"/>
        </w:rPr>
      </w:pPr>
      <w:r>
        <w:rPr>
          <w:color w:val="000000"/>
        </w:rPr>
        <w:t>[</w:t>
      </w:r>
      <w:r>
        <w:rPr>
          <w:rFonts w:hint="eastAsia"/>
          <w:color w:val="000000"/>
          <w:lang w:val="en-US" w:eastAsia="zh-CN"/>
        </w:rPr>
        <w:t>5</w:t>
      </w:r>
      <w:r>
        <w:rPr>
          <w:color w:val="000000"/>
        </w:rPr>
        <w:t>]</w:t>
      </w:r>
      <w:r>
        <w:rPr>
          <w:color w:val="000000"/>
        </w:rPr>
        <w:tab/>
      </w:r>
      <w:r>
        <w:rPr>
          <w:color w:val="000000"/>
        </w:rPr>
        <w:t xml:space="preserve">3GPP TS </w:t>
      </w:r>
      <w:r>
        <w:rPr>
          <w:rFonts w:hint="eastAsia"/>
          <w:color w:val="000000"/>
          <w:lang w:val="en-US" w:eastAsia="zh-CN"/>
        </w:rPr>
        <w:t>32.298</w:t>
      </w:r>
      <w:r>
        <w:t>: "</w:t>
      </w:r>
      <w:r>
        <w:rPr>
          <w:rFonts w:hint="eastAsia"/>
          <w:color w:val="000000"/>
          <w:lang w:val="en-US" w:eastAsia="zh-CN"/>
        </w:rPr>
        <w:t>Telecommunication management; Charging management; Charging Data Record (CDR) parameter description</w:t>
      </w:r>
      <w:r>
        <w:t>"</w:t>
      </w:r>
      <w:r>
        <w:rPr>
          <w:rFonts w:hint="eastAsia"/>
          <w:lang w:val="en-US" w:eastAsia="zh-CN"/>
        </w:rPr>
        <w:t>.</w:t>
      </w:r>
    </w:p>
    <w:p>
      <w:pPr>
        <w:pStyle w:val="160"/>
        <w:rPr>
          <w:rFonts w:hint="eastAsia" w:eastAsia="宋体"/>
          <w:lang w:val="en-US" w:eastAsia="zh-CN"/>
        </w:rPr>
      </w:pPr>
      <w:r>
        <w:rPr>
          <w:rFonts w:hint="eastAsia"/>
          <w:lang w:val="en-US" w:eastAsia="zh-CN"/>
        </w:rPr>
        <w:t>[</w:t>
      </w:r>
      <w:r>
        <w:rPr>
          <w:lang w:val="en-US" w:eastAsia="zh-CN"/>
        </w:rPr>
        <w:t>6]</w:t>
      </w:r>
      <w:r>
        <w:rPr>
          <w:lang w:val="en-US" w:eastAsia="zh-CN"/>
        </w:rPr>
        <w:tab/>
      </w:r>
      <w:r>
        <w:rPr>
          <w:lang w:val="en-US" w:eastAsia="zh-CN"/>
        </w:rPr>
        <w:t>S5-23</w:t>
      </w:r>
      <w:r>
        <w:rPr>
          <w:rFonts w:hint="eastAsia"/>
          <w:lang w:val="en-US" w:eastAsia="zh-CN"/>
        </w:rPr>
        <w:t>7656</w:t>
      </w:r>
      <w:r>
        <w:rPr>
          <w:lang w:val="en-US" w:eastAsia="zh-CN"/>
        </w:rPr>
        <w:t xml:space="preserve">: </w:t>
      </w:r>
      <w:r>
        <w:t>"</w:t>
      </w:r>
      <w:r>
        <w:rPr>
          <w:lang w:val="en-US" w:eastAsia="zh-CN"/>
        </w:rPr>
        <w:t xml:space="preserve">Discussion paper on charging </w:t>
      </w:r>
      <w:r>
        <w:rPr>
          <w:rFonts w:hint="eastAsia"/>
          <w:lang w:val="en-US" w:eastAsia="zh-CN"/>
        </w:rPr>
        <w:t>enhancement</w:t>
      </w:r>
      <w:r>
        <w:rPr>
          <w:lang w:val="en-US" w:eastAsia="zh-CN"/>
        </w:rPr>
        <w:t xml:space="preserve"> for particular UEs (hosts, guests) using the RGs in case of trusted N3GPP access</w:t>
      </w:r>
      <w:r>
        <w:t>"</w:t>
      </w:r>
      <w:r>
        <w:rPr>
          <w:rFonts w:hint="eastAsia"/>
          <w:lang w:val="en-US" w:eastAsia="zh-CN"/>
        </w:rPr>
        <w:t>.</w:t>
      </w:r>
    </w:p>
    <w:p>
      <w:pPr>
        <w:pStyle w:val="160"/>
        <w:rPr>
          <w:rFonts w:hint="default"/>
          <w:lang w:val="en-US" w:eastAsia="zh-CN"/>
        </w:rPr>
      </w:pPr>
      <w:r>
        <w:rPr>
          <w:lang w:val="en-US" w:eastAsia="zh-CN"/>
        </w:rPr>
        <w:t>[7]</w:t>
      </w:r>
      <w:r>
        <w:rPr>
          <w:lang w:val="en-US" w:eastAsia="zh-CN"/>
        </w:rPr>
        <w:tab/>
      </w:r>
      <w:r>
        <w:rPr>
          <w:lang w:val="en-US" w:eastAsia="zh-CN"/>
        </w:rPr>
        <w:t>3GPP TS 38.413: "NG-RAN; NG Application Protocol (NGAP)"</w:t>
      </w:r>
      <w:r>
        <w:rPr>
          <w:rFonts w:hint="eastAsia"/>
          <w:lang w:val="en-US" w:eastAsia="zh-CN"/>
        </w:rPr>
        <w:t>.</w:t>
      </w:r>
    </w:p>
    <w:p>
      <w:pPr>
        <w:pStyle w:val="160"/>
        <w:rPr>
          <w:rFonts w:hint="default"/>
          <w:lang w:val="en-US" w:eastAsia="zh-CN"/>
        </w:rPr>
      </w:pPr>
      <w:r>
        <w:rPr>
          <w:lang w:val="en-US" w:eastAsia="zh-CN"/>
        </w:rPr>
        <w:t>[8]</w:t>
      </w:r>
      <w:r>
        <w:rPr>
          <w:lang w:val="en-US" w:eastAsia="zh-CN"/>
        </w:rPr>
        <w:tab/>
      </w:r>
      <w:r>
        <w:rPr>
          <w:lang w:val="en-US" w:eastAsia="zh-CN"/>
        </w:rPr>
        <w:tab/>
      </w:r>
      <w:r>
        <w:rPr>
          <w:lang w:val="en-US" w:eastAsia="zh-CN"/>
        </w:rPr>
        <w:t>3GPP TS 29.571: "</w:t>
      </w:r>
      <w:r>
        <w:rPr>
          <w:rFonts w:hint="eastAsia"/>
          <w:lang w:val="en-US" w:eastAsia="zh-CN"/>
        </w:rPr>
        <w:t>5G System; Common Data Types for Service Based Interfaces; Stage 3</w:t>
      </w:r>
      <w:r>
        <w:rPr>
          <w:lang w:val="en-US" w:eastAsia="zh-CN"/>
        </w:rPr>
        <w:t>"</w:t>
      </w:r>
      <w:r>
        <w:rPr>
          <w:rFonts w:hint="eastAsia"/>
          <w:lang w:val="en-US" w:eastAsia="zh-CN"/>
        </w:rPr>
        <w:t>.</w:t>
      </w:r>
      <w:bookmarkStart w:id="25" w:name="_GoBack"/>
      <w:bookmarkEnd w:id="25"/>
    </w:p>
    <w:p>
      <w:pPr>
        <w:pStyle w:val="160"/>
        <w:ind w:left="0" w:firstLine="0"/>
      </w:pPr>
    </w:p>
    <w:p>
      <w:pPr>
        <w:pStyle w:val="160"/>
        <w:rPr>
          <w:lang w:eastAsia="zh-CN"/>
        </w:rPr>
      </w:pPr>
    </w:p>
    <w:p>
      <w:pPr>
        <w:pStyle w:val="160"/>
        <w:rPr>
          <w:color w:val="FF0000"/>
          <w:lang w:val="fr-FR"/>
        </w:rPr>
      </w:pPr>
    </w:p>
    <w:p>
      <w:pPr>
        <w:pStyle w:val="3"/>
      </w:pPr>
      <w:r>
        <w:t>3</w:t>
      </w:r>
      <w:r>
        <w:tab/>
      </w:r>
      <w:r>
        <w:t>Rationale</w:t>
      </w:r>
    </w:p>
    <w:p>
      <w:pPr>
        <w:rPr>
          <w:sz w:val="26"/>
          <w:szCs w:val="26"/>
        </w:rPr>
      </w:pPr>
      <w:r>
        <w:rPr>
          <w:sz w:val="26"/>
          <w:szCs w:val="26"/>
        </w:rPr>
        <w:t>3.1</w:t>
      </w:r>
      <w:r>
        <w:rPr>
          <w:sz w:val="26"/>
          <w:szCs w:val="26"/>
        </w:rPr>
        <w:tab/>
      </w:r>
      <w:r>
        <w:rPr>
          <w:sz w:val="26"/>
          <w:szCs w:val="26"/>
        </w:rPr>
        <w:tab/>
      </w:r>
      <w:r>
        <w:rPr>
          <w:sz w:val="26"/>
          <w:szCs w:val="26"/>
        </w:rPr>
        <w:t xml:space="preserve"> Background and motivation</w:t>
      </w:r>
    </w:p>
    <w:p>
      <w:pPr>
        <w:rPr>
          <w:lang w:eastAsia="zh-CN"/>
        </w:rPr>
      </w:pPr>
      <w:r>
        <w:rPr>
          <w:lang w:eastAsia="zh-CN"/>
        </w:rPr>
        <w:t xml:space="preserve">SA5 agreed the CR to supports for </w:t>
      </w:r>
      <w:r>
        <w:t xml:space="preserve">UE behind RG using untrusted and trusted Non-3GPP access procedures of TS 32.255 for 5WWC phase 2 in SA5#152 meeting. </w:t>
      </w:r>
    </w:p>
    <w:p>
      <w:pPr>
        <w:rPr>
          <w:lang w:eastAsia="zh-CN"/>
        </w:rPr>
      </w:pPr>
      <w:r>
        <w:rPr>
          <w:rFonts w:hint="eastAsia"/>
          <w:lang w:eastAsia="zh-CN"/>
        </w:rPr>
        <w:t>F</w:t>
      </w:r>
      <w:r>
        <w:rPr>
          <w:lang w:eastAsia="zh-CN"/>
        </w:rPr>
        <w:t xml:space="preserve">urthermore, tdoc </w:t>
      </w:r>
      <w:r>
        <w:rPr>
          <w:lang w:val="en-US" w:eastAsia="zh-CN"/>
        </w:rPr>
        <w:t>S5-23</w:t>
      </w:r>
      <w:r>
        <w:rPr>
          <w:rFonts w:hint="eastAsia"/>
          <w:lang w:val="en-US" w:eastAsia="zh-CN"/>
        </w:rPr>
        <w:t>7656</w:t>
      </w:r>
      <w:r>
        <w:rPr>
          <w:lang w:val="en-US" w:eastAsia="zh-CN"/>
        </w:rPr>
        <w:t xml:space="preserve"> also mentions the potential requirement for 5WWC phase 2. I</w:t>
      </w:r>
      <w:r>
        <w:rPr>
          <w:lang w:eastAsia="zh-CN"/>
        </w:rPr>
        <w:t xml:space="preserve">n </w:t>
      </w:r>
      <w:r>
        <w:rPr>
          <w:lang w:eastAsia="ko-KR"/>
        </w:rPr>
        <w:t xml:space="preserve">trusted non-3GPP access scenario, </w:t>
      </w:r>
      <w:r>
        <w:rPr>
          <w:lang w:eastAsia="zh-CN"/>
        </w:rPr>
        <w:t xml:space="preserve">the differentiated charging for particular UEs (hosts) which are belong to the RG (e.g., the home of the subscriber) and the UEs (guest) which are visitors of the RG, is described in clause </w:t>
      </w:r>
      <w:r>
        <w:t>4.10 of TS 23.316</w:t>
      </w:r>
      <w:r>
        <w:rPr>
          <w:rFonts w:hint="eastAsia"/>
          <w:lang w:val="en-US" w:eastAsia="zh-CN"/>
        </w:rPr>
        <w:t>[3]</w:t>
      </w:r>
      <w:r>
        <w:t>.</w:t>
      </w:r>
    </w:p>
    <w:p>
      <w:pPr>
        <w:rPr>
          <w:rFonts w:cs="Arial"/>
          <w:szCs w:val="18"/>
          <w:lang w:eastAsia="ja-JP"/>
        </w:rPr>
      </w:pPr>
      <w:r>
        <w:rPr>
          <w:lang w:eastAsia="zh-CN"/>
        </w:rPr>
        <w:t>In TS 38.41</w:t>
      </w:r>
      <w:r>
        <w:t xml:space="preserve">3[7], TNGF user location information is given in clause </w:t>
      </w:r>
      <w:bookmarkStart w:id="0" w:name="_Toc36553243"/>
      <w:bookmarkStart w:id="1" w:name="_Toc105174093"/>
      <w:bookmarkStart w:id="2" w:name="_Toc20955180"/>
      <w:bookmarkStart w:id="3" w:name="_Toc29504213"/>
      <w:bookmarkStart w:id="4" w:name="_Toc29504797"/>
      <w:bookmarkStart w:id="5" w:name="_Toc64446270"/>
      <w:bookmarkStart w:id="6" w:name="_Toc51746006"/>
      <w:bookmarkStart w:id="7" w:name="_Toc29503629"/>
      <w:bookmarkStart w:id="8" w:name="_Toc45658713"/>
      <w:bookmarkStart w:id="9" w:name="_Toc107409549"/>
      <w:bookmarkStart w:id="10" w:name="_Toc45897802"/>
      <w:bookmarkStart w:id="11" w:name="_Toc146270890"/>
      <w:bookmarkStart w:id="12" w:name="_Toc112756738"/>
      <w:bookmarkStart w:id="13" w:name="_Toc45720533"/>
      <w:bookmarkStart w:id="14" w:name="_Toc99123415"/>
      <w:bookmarkStart w:id="15" w:name="_Toc99662220"/>
      <w:bookmarkStart w:id="16" w:name="_Toc36554970"/>
      <w:bookmarkStart w:id="17" w:name="_Toc45798413"/>
      <w:bookmarkStart w:id="18" w:name="_Toc97891272"/>
      <w:bookmarkStart w:id="19" w:name="_Toc73982140"/>
      <w:bookmarkStart w:id="20" w:name="_Toc45652281"/>
      <w:bookmarkStart w:id="21" w:name="_Toc88652229"/>
      <w:bookmarkStart w:id="22" w:name="_Toc106122996"/>
      <w:bookmarkStart w:id="23" w:name="_Toc106109091"/>
      <w:bookmarkStart w:id="24" w:name="_Toc105152287"/>
      <w:r>
        <w:t>9.3.1.16</w:t>
      </w:r>
      <w:r>
        <w:tab/>
      </w:r>
      <w:r>
        <w:t>User Location Information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 xml:space="preserve">, including </w:t>
      </w:r>
      <w:r>
        <w:rPr>
          <w:rFonts w:cs="Arial"/>
          <w:szCs w:val="18"/>
          <w:lang w:eastAsia="ja-JP"/>
        </w:rPr>
        <w:t>TNAP ID, IP address and Port Number. The detail info of TNAP ID can be seen in TS 29.571[8].</w:t>
      </w:r>
    </w:p>
    <w:p>
      <w:pPr>
        <w:rPr>
          <w:lang w:eastAsia="zh-CN"/>
        </w:rPr>
      </w:pPr>
      <w:r>
        <w:rPr>
          <w:rFonts w:hint="eastAsia"/>
          <w:lang w:eastAsia="zh-CN"/>
        </w:rPr>
        <w:t>A</w:t>
      </w:r>
      <w:r>
        <w:rPr>
          <w:lang w:eastAsia="zh-CN"/>
        </w:rPr>
        <w:t>s describe in clause 4.10 UE behind 5G-RG and FN-RG of TS 23.316, the charging</w:t>
      </w:r>
      <w:r>
        <w:rPr>
          <w:lang w:eastAsia="ko-KR"/>
        </w:rPr>
        <w:t xml:space="preserve"> differentiation based on user location (e.g. home or guest users) can be applied when the user is connected via a TNGF reached over a 5G-RG.</w:t>
      </w:r>
      <w:r>
        <w:rPr>
          <w:lang w:eastAsia="zh-CN"/>
        </w:rPr>
        <w:t xml:space="preserve">  The TNAP ID is available to be part of user location information.</w:t>
      </w:r>
    </w:p>
    <w:p>
      <w:pPr>
        <w:rPr>
          <w:lang w:eastAsia="ko-KR"/>
        </w:rPr>
      </w:pPr>
      <w:r>
        <w:rPr>
          <w:lang w:eastAsia="zh-CN"/>
        </w:rPr>
        <w:t xml:space="preserve">For example if the TNGF user location information (including TNAP ID) I provided, the </w:t>
      </w:r>
      <w:r>
        <w:rPr>
          <w:lang w:eastAsia="ko-KR"/>
        </w:rPr>
        <w:t>QoS and charging differentiation can be applied due to the UE is considered as a home user or visiting user. The TNAP ID is used as the information can be seen based on subscription information of the UE is considered.</w:t>
      </w:r>
    </w:p>
    <w:p>
      <w:pPr>
        <w:rPr>
          <w:lang w:eastAsia="zh-CN"/>
        </w:rPr>
      </w:pPr>
      <w:r>
        <w:t xml:space="preserve">The proposal for charging is to add use of TNGF user location info to identify those UEs (the host or guest) behind the RG in trusted Non-3GPP access.  The particular proposal for user location info is to use TNGF identifier as ULI during the PDU session establishment for </w:t>
      </w:r>
      <w:r>
        <w:rPr>
          <w:lang w:eastAsia="zh-CN"/>
        </w:rPr>
        <w:t>UE behind RG using</w:t>
      </w:r>
      <w:r>
        <w:t xml:space="preserve"> trusted N3GPP access, then the charging system is capable to support </w:t>
      </w:r>
      <w:r>
        <w:rPr>
          <w:lang w:eastAsia="zh-CN"/>
        </w:rPr>
        <w:t xml:space="preserve">differentiated charging for particular UEs (hosts, guests) using the RGs in case of </w:t>
      </w:r>
      <w:r>
        <w:t>trusted N3GPP access.</w:t>
      </w:r>
    </w:p>
    <w:p>
      <w:pPr>
        <w:rPr>
          <w:lang w:eastAsia="zh-CN"/>
        </w:rPr>
      </w:pPr>
    </w:p>
    <w:p>
      <w:pPr>
        <w:rPr>
          <w:lang w:eastAsia="zh-CN"/>
        </w:rPr>
      </w:pPr>
    </w:p>
    <w:p>
      <w:pPr>
        <w:rPr>
          <w:sz w:val="26"/>
          <w:szCs w:val="26"/>
        </w:rPr>
      </w:pPr>
      <w:r>
        <w:rPr>
          <w:sz w:val="26"/>
          <w:szCs w:val="26"/>
        </w:rPr>
        <w:t xml:space="preserve">3.2 </w:t>
      </w:r>
      <w:r>
        <w:rPr>
          <w:sz w:val="26"/>
          <w:szCs w:val="26"/>
        </w:rPr>
        <w:tab/>
      </w:r>
      <w:r>
        <w:rPr>
          <w:sz w:val="26"/>
          <w:szCs w:val="26"/>
        </w:rPr>
        <w:tab/>
      </w:r>
      <w:r>
        <w:rPr>
          <w:sz w:val="26"/>
          <w:szCs w:val="26"/>
        </w:rPr>
        <w:t>Analysis on potential charging enhancement(s)</w:t>
      </w:r>
    </w:p>
    <w:p>
      <w:r>
        <w:rPr>
          <w:rFonts w:hint="eastAsia"/>
          <w:lang w:eastAsia="zh-CN"/>
        </w:rPr>
        <w:t>T</w:t>
      </w:r>
      <w:r>
        <w:rPr>
          <w:lang w:eastAsia="zh-CN"/>
        </w:rPr>
        <w:t xml:space="preserve">he charging aspect for 5WWC may be enhanced due to the scenarios of </w:t>
      </w:r>
      <w:r>
        <w:t>for 3GPP UE behind an RG. As an example, the architecture for UE behind 5G-RG using untrusted N3GPP access is shown as following:</w:t>
      </w:r>
    </w:p>
    <w:p>
      <w:pPr>
        <w:jc w:val="center"/>
      </w:pPr>
      <w:r>
        <w:object>
          <v:shape id="_x0000_i1025" o:spt="75" type="#_x0000_t75" style="height:118.3pt;width:371.8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lang w:eastAsia="zh-CN"/>
        </w:rPr>
      </w:pPr>
      <w:r>
        <w:t>Architecture for UE behind 5G-RG using untrusted N3GPP access</w:t>
      </w:r>
    </w:p>
    <w:p>
      <w:pPr>
        <w:rPr>
          <w:lang w:eastAsia="zh-CN"/>
        </w:rPr>
      </w:pPr>
      <w:r>
        <w:rPr>
          <w:rFonts w:hint="eastAsia"/>
          <w:lang w:eastAsia="zh-CN"/>
        </w:rPr>
        <w:t>T</w:t>
      </w:r>
      <w:r>
        <w:rPr>
          <w:lang w:eastAsia="zh-CN"/>
        </w:rPr>
        <w:t xml:space="preserve">he supports for </w:t>
      </w:r>
      <w:r>
        <w:t>UE behind RG using untrusted Non-3GPP access procedures</w:t>
      </w:r>
      <w:r>
        <w:rPr>
          <w:lang w:eastAsia="zh-CN"/>
        </w:rPr>
        <w:t xml:space="preserve"> are described in annex A of TS 23.316</w:t>
      </w:r>
      <w:r>
        <w:rPr>
          <w:rFonts w:hint="eastAsia"/>
          <w:lang w:val="en-US" w:eastAsia="zh-CN"/>
        </w:rPr>
        <w:t>[3]</w:t>
      </w:r>
      <w:r>
        <w:rPr>
          <w:lang w:eastAsia="zh-CN"/>
        </w:rPr>
        <w:t>.</w:t>
      </w:r>
    </w:p>
    <w:p>
      <w:pPr>
        <w:rPr>
          <w:lang w:eastAsia="ko-KR"/>
        </w:rPr>
      </w:pPr>
      <w:r>
        <w:rPr>
          <w:rFonts w:hint="eastAsia"/>
          <w:lang w:eastAsia="zh-CN"/>
        </w:rPr>
        <w:t>A</w:t>
      </w:r>
      <w:r>
        <w:rPr>
          <w:lang w:eastAsia="zh-CN"/>
        </w:rPr>
        <w:t xml:space="preserve">ccording to the description above, the differentiated charging for UE behind RG using </w:t>
      </w:r>
      <w:r>
        <w:t>untrusted N3GPP access and trusted N3GPP access should follow the existing charging information and related procedures for those on</w:t>
      </w:r>
      <w:r>
        <w:rPr>
          <w:lang w:eastAsia="ko-KR"/>
        </w:rPr>
        <w:t xml:space="preserve"> untrusted non-3GPP access and trusted non-3GPP access described in TS 32.255</w:t>
      </w:r>
      <w:r>
        <w:rPr>
          <w:rFonts w:hint="eastAsia"/>
          <w:lang w:val="en-US" w:eastAsia="zh-CN"/>
        </w:rPr>
        <w:t>[2]</w:t>
      </w:r>
      <w:r>
        <w:rPr>
          <w:lang w:eastAsia="ko-KR"/>
        </w:rPr>
        <w:t xml:space="preserve">. Therefore, this discussion concludes the clarification description may be needed for </w:t>
      </w:r>
      <w:r>
        <w:t>UE behind 5G-RG to use charging procedures and charging information as described in TS 32.255</w:t>
      </w:r>
      <w:r>
        <w:rPr>
          <w:rFonts w:hint="eastAsia"/>
          <w:lang w:val="en-US" w:eastAsia="zh-CN"/>
        </w:rPr>
        <w:t>[2]</w:t>
      </w:r>
      <w:r>
        <w:t>.</w:t>
      </w:r>
    </w:p>
    <w:p>
      <w:r>
        <w:rPr>
          <w:rFonts w:hint="eastAsia"/>
          <w:lang w:eastAsia="zh-CN"/>
        </w:rPr>
        <w:t>F</w:t>
      </w:r>
      <w:r>
        <w:rPr>
          <w:lang w:eastAsia="zh-CN"/>
        </w:rPr>
        <w:t xml:space="preserve">urthermore, in </w:t>
      </w:r>
      <w:r>
        <w:rPr>
          <w:lang w:eastAsia="ko-KR"/>
        </w:rPr>
        <w:t xml:space="preserve">trusted non-3GPP access scenario, </w:t>
      </w:r>
      <w:r>
        <w:rPr>
          <w:lang w:eastAsia="zh-CN"/>
        </w:rPr>
        <w:t xml:space="preserve">the differentiated charging for particular UEs (hosts) which are belong to the RG (e.g., the home of the subscriber) and the UEs (guest) which are visitors of the RG, is described in clause </w:t>
      </w:r>
      <w:r>
        <w:t>4.10 of TS 23.316</w:t>
      </w:r>
      <w:r>
        <w:rPr>
          <w:rFonts w:hint="eastAsia"/>
          <w:lang w:val="en-US" w:eastAsia="zh-CN"/>
        </w:rPr>
        <w:t>[3]</w:t>
      </w:r>
      <w:r>
        <w:t xml:space="preserve">. The proposal for charging is to enhance the use of user location info to identify those UEs (the host or guest) behind the RG in trusted Non-3GPP access.  The particular proposal for user location info is to use TNAP identifier (see TS 38.413 [7]) as ULI during the PDU session establishment for </w:t>
      </w:r>
      <w:r>
        <w:rPr>
          <w:lang w:eastAsia="zh-CN"/>
        </w:rPr>
        <w:t>UE behind RG using</w:t>
      </w:r>
      <w:r>
        <w:t xml:space="preserve"> trusted N3GPP access, then the charging system is capable to support </w:t>
      </w:r>
      <w:r>
        <w:rPr>
          <w:lang w:eastAsia="zh-CN"/>
        </w:rPr>
        <w:t xml:space="preserve">differentiated charging for particular UEs (hosts, guests) using the RGs in case of </w:t>
      </w:r>
      <w:r>
        <w:t>trusted N3GPP access.</w:t>
      </w:r>
    </w:p>
    <w:p>
      <w:pPr>
        <w:pStyle w:val="130"/>
        <w:overflowPunct w:val="0"/>
        <w:autoSpaceDE w:val="0"/>
        <w:autoSpaceDN w:val="0"/>
        <w:adjustRightInd w:val="0"/>
        <w:textAlignment w:val="baseline"/>
        <w:rPr>
          <w:rFonts w:hint="eastAsia"/>
          <w:lang w:bidi="ar-IQ"/>
        </w:rPr>
      </w:pPr>
      <w:r>
        <w:rPr>
          <w:rFonts w:hint="eastAsia"/>
          <w:lang w:bidi="ar-IQ"/>
        </w:rPr>
        <w:t>N</w:t>
      </w:r>
      <w:r>
        <w:rPr>
          <w:lang w:bidi="ar-IQ"/>
        </w:rPr>
        <w:t xml:space="preserve">OTE: </w:t>
      </w:r>
      <w:r>
        <w:rPr>
          <w:lang w:bidi="ar-IQ"/>
        </w:rPr>
        <w:tab/>
      </w:r>
      <w:r>
        <w:rPr>
          <w:lang w:bidi="ar-IQ"/>
        </w:rPr>
        <w:t xml:space="preserve">The user location information in TS 29.571 [8] already supports the IEs of non-3GPP access user location information.  </w:t>
      </w:r>
    </w:p>
    <w:p>
      <w:pPr>
        <w:rPr>
          <w:sz w:val="28"/>
        </w:rPr>
      </w:pPr>
    </w:p>
    <w:p>
      <w:pPr>
        <w:pStyle w:val="3"/>
      </w:pPr>
      <w:r>
        <w:t>4</w:t>
      </w:r>
      <w:r>
        <w:tab/>
      </w:r>
      <w:r>
        <w:t>Detailed proposal</w:t>
      </w:r>
    </w:p>
    <w:p>
      <w:r>
        <w:t>SA5 is asked to agree a technical proposal to support charging enhancement and the identification of differentiated charging for UE behind the RG.</w:t>
      </w:r>
    </w:p>
    <w:p>
      <w:pPr>
        <w:numPr>
          <w:ilvl w:val="0"/>
          <w:numId w:val="5"/>
        </w:numPr>
        <w:rPr>
          <w:i/>
        </w:rPr>
      </w:pPr>
      <w:r>
        <w:t xml:space="preserve">The charging enhancement to specify the use of user location information (TNAP ID) for </w:t>
      </w:r>
      <w:r>
        <w:rPr>
          <w:lang w:eastAsia="zh-CN"/>
        </w:rPr>
        <w:t xml:space="preserve">differentiated charging for particular UEs (hosts, guests) using the RGs in case of </w:t>
      </w:r>
      <w:r>
        <w:t>trusted N3GPP access.</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488C77E6"/>
    <w:multiLevelType w:val="multilevel"/>
    <w:tmpl w:val="488C77E6"/>
    <w:lvl w:ilvl="0" w:tentative="0">
      <w:start w:val="1"/>
      <w:numFmt w:val="decimal"/>
      <w:lvlText w:val="%1."/>
      <w:lvlJc w:val="left"/>
      <w:pPr>
        <w:ind w:left="360" w:hanging="360"/>
      </w:pPr>
      <w:rPr>
        <w:rFonts w:hint="default"/>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02CBE96"/>
    <w:multiLevelType w:val="singleLevel"/>
    <w:tmpl w:val="502CBE96"/>
    <w:lvl w:ilvl="0" w:tentative="0">
      <w:start w:val="1"/>
      <w:numFmt w:val="decimal"/>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B80"/>
    <w:rsid w:val="00012515"/>
    <w:rsid w:val="000230A3"/>
    <w:rsid w:val="000328CB"/>
    <w:rsid w:val="00035E7D"/>
    <w:rsid w:val="00046389"/>
    <w:rsid w:val="00064DE6"/>
    <w:rsid w:val="00074722"/>
    <w:rsid w:val="00075A47"/>
    <w:rsid w:val="0008083D"/>
    <w:rsid w:val="000819D8"/>
    <w:rsid w:val="00085D0B"/>
    <w:rsid w:val="000934A6"/>
    <w:rsid w:val="000A2C6C"/>
    <w:rsid w:val="000A4660"/>
    <w:rsid w:val="000D0BE0"/>
    <w:rsid w:val="000D1B5B"/>
    <w:rsid w:val="000E487A"/>
    <w:rsid w:val="000E626A"/>
    <w:rsid w:val="0010401F"/>
    <w:rsid w:val="00112FC3"/>
    <w:rsid w:val="00117F97"/>
    <w:rsid w:val="00143A6C"/>
    <w:rsid w:val="00146611"/>
    <w:rsid w:val="00173FA3"/>
    <w:rsid w:val="00184B6F"/>
    <w:rsid w:val="001861E5"/>
    <w:rsid w:val="001969DA"/>
    <w:rsid w:val="00197930"/>
    <w:rsid w:val="001A6EE3"/>
    <w:rsid w:val="001B1652"/>
    <w:rsid w:val="001C3EC8"/>
    <w:rsid w:val="001D2BD4"/>
    <w:rsid w:val="001D4258"/>
    <w:rsid w:val="001D6911"/>
    <w:rsid w:val="001F707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2F4843"/>
    <w:rsid w:val="0030628A"/>
    <w:rsid w:val="00331BB4"/>
    <w:rsid w:val="0035122B"/>
    <w:rsid w:val="00353451"/>
    <w:rsid w:val="003612BE"/>
    <w:rsid w:val="00365672"/>
    <w:rsid w:val="00371032"/>
    <w:rsid w:val="00371B44"/>
    <w:rsid w:val="0039133E"/>
    <w:rsid w:val="003C122B"/>
    <w:rsid w:val="003C5A97"/>
    <w:rsid w:val="003C7A04"/>
    <w:rsid w:val="003F52B2"/>
    <w:rsid w:val="004057C3"/>
    <w:rsid w:val="00410162"/>
    <w:rsid w:val="0043439B"/>
    <w:rsid w:val="00440414"/>
    <w:rsid w:val="004558E9"/>
    <w:rsid w:val="00455E8C"/>
    <w:rsid w:val="0045777E"/>
    <w:rsid w:val="00472E19"/>
    <w:rsid w:val="004B3753"/>
    <w:rsid w:val="004C31D2"/>
    <w:rsid w:val="004C425D"/>
    <w:rsid w:val="004D55C2"/>
    <w:rsid w:val="00520BEF"/>
    <w:rsid w:val="00521131"/>
    <w:rsid w:val="00527A62"/>
    <w:rsid w:val="00527C0B"/>
    <w:rsid w:val="00535666"/>
    <w:rsid w:val="005410F6"/>
    <w:rsid w:val="0055412D"/>
    <w:rsid w:val="00562423"/>
    <w:rsid w:val="005649B5"/>
    <w:rsid w:val="005729C4"/>
    <w:rsid w:val="00577BC6"/>
    <w:rsid w:val="00582B51"/>
    <w:rsid w:val="0059227B"/>
    <w:rsid w:val="005A4F75"/>
    <w:rsid w:val="005A58C2"/>
    <w:rsid w:val="005B0966"/>
    <w:rsid w:val="005B795D"/>
    <w:rsid w:val="005E7902"/>
    <w:rsid w:val="00610508"/>
    <w:rsid w:val="0061095E"/>
    <w:rsid w:val="00613820"/>
    <w:rsid w:val="00645C90"/>
    <w:rsid w:val="00652248"/>
    <w:rsid w:val="00657B80"/>
    <w:rsid w:val="00675B3C"/>
    <w:rsid w:val="0069495C"/>
    <w:rsid w:val="006C2544"/>
    <w:rsid w:val="006C588B"/>
    <w:rsid w:val="006D340A"/>
    <w:rsid w:val="006E37D7"/>
    <w:rsid w:val="00715A1D"/>
    <w:rsid w:val="007546E1"/>
    <w:rsid w:val="00760BB0"/>
    <w:rsid w:val="0076157A"/>
    <w:rsid w:val="00762009"/>
    <w:rsid w:val="00784593"/>
    <w:rsid w:val="007A00EF"/>
    <w:rsid w:val="007B19EA"/>
    <w:rsid w:val="007C0A2D"/>
    <w:rsid w:val="007C27B0"/>
    <w:rsid w:val="007F300B"/>
    <w:rsid w:val="008014C3"/>
    <w:rsid w:val="00850812"/>
    <w:rsid w:val="00851CBF"/>
    <w:rsid w:val="00854D6F"/>
    <w:rsid w:val="00876B9A"/>
    <w:rsid w:val="00886CBD"/>
    <w:rsid w:val="008933BF"/>
    <w:rsid w:val="00897913"/>
    <w:rsid w:val="008A10C4"/>
    <w:rsid w:val="008B0248"/>
    <w:rsid w:val="008D191D"/>
    <w:rsid w:val="008D74E7"/>
    <w:rsid w:val="008F212C"/>
    <w:rsid w:val="008F4C44"/>
    <w:rsid w:val="008F5F33"/>
    <w:rsid w:val="0091046A"/>
    <w:rsid w:val="00916F80"/>
    <w:rsid w:val="00926ABD"/>
    <w:rsid w:val="00947708"/>
    <w:rsid w:val="00947F4E"/>
    <w:rsid w:val="00966D47"/>
    <w:rsid w:val="0098297E"/>
    <w:rsid w:val="00991040"/>
    <w:rsid w:val="00992312"/>
    <w:rsid w:val="009C0DED"/>
    <w:rsid w:val="00A070F6"/>
    <w:rsid w:val="00A20ED6"/>
    <w:rsid w:val="00A307A0"/>
    <w:rsid w:val="00A37D7F"/>
    <w:rsid w:val="00A46410"/>
    <w:rsid w:val="00A57318"/>
    <w:rsid w:val="00A57688"/>
    <w:rsid w:val="00A80B52"/>
    <w:rsid w:val="00A842E9"/>
    <w:rsid w:val="00A84A94"/>
    <w:rsid w:val="00AD1DAA"/>
    <w:rsid w:val="00AF0082"/>
    <w:rsid w:val="00AF1E23"/>
    <w:rsid w:val="00AF7080"/>
    <w:rsid w:val="00AF7F81"/>
    <w:rsid w:val="00B01AFF"/>
    <w:rsid w:val="00B05CC7"/>
    <w:rsid w:val="00B27E39"/>
    <w:rsid w:val="00B350D8"/>
    <w:rsid w:val="00B64419"/>
    <w:rsid w:val="00B76763"/>
    <w:rsid w:val="00B7732B"/>
    <w:rsid w:val="00B879F0"/>
    <w:rsid w:val="00BC25AA"/>
    <w:rsid w:val="00BF682E"/>
    <w:rsid w:val="00C022E3"/>
    <w:rsid w:val="00C22D17"/>
    <w:rsid w:val="00C26BB2"/>
    <w:rsid w:val="00C41295"/>
    <w:rsid w:val="00C4712D"/>
    <w:rsid w:val="00C555C9"/>
    <w:rsid w:val="00C94F55"/>
    <w:rsid w:val="00CA7D62"/>
    <w:rsid w:val="00CB07A8"/>
    <w:rsid w:val="00CB7CEB"/>
    <w:rsid w:val="00CD4A57"/>
    <w:rsid w:val="00D146F1"/>
    <w:rsid w:val="00D33604"/>
    <w:rsid w:val="00D37B08"/>
    <w:rsid w:val="00D437FF"/>
    <w:rsid w:val="00D5130C"/>
    <w:rsid w:val="00D62265"/>
    <w:rsid w:val="00D73770"/>
    <w:rsid w:val="00D8512E"/>
    <w:rsid w:val="00D959B6"/>
    <w:rsid w:val="00D96574"/>
    <w:rsid w:val="00DA1E58"/>
    <w:rsid w:val="00DB6E67"/>
    <w:rsid w:val="00DB75B8"/>
    <w:rsid w:val="00DC1055"/>
    <w:rsid w:val="00DC6B07"/>
    <w:rsid w:val="00DE4EF2"/>
    <w:rsid w:val="00DF2C0E"/>
    <w:rsid w:val="00E04DB6"/>
    <w:rsid w:val="00E06FFB"/>
    <w:rsid w:val="00E30155"/>
    <w:rsid w:val="00E91752"/>
    <w:rsid w:val="00E91FE1"/>
    <w:rsid w:val="00E935FE"/>
    <w:rsid w:val="00EA5E95"/>
    <w:rsid w:val="00ED4954"/>
    <w:rsid w:val="00ED5A43"/>
    <w:rsid w:val="00ED6268"/>
    <w:rsid w:val="00EE0943"/>
    <w:rsid w:val="00EE33A2"/>
    <w:rsid w:val="00F21443"/>
    <w:rsid w:val="00F614E6"/>
    <w:rsid w:val="00F67A1C"/>
    <w:rsid w:val="00F77D3E"/>
    <w:rsid w:val="00F82C5B"/>
    <w:rsid w:val="00F8555F"/>
    <w:rsid w:val="00FB3E36"/>
    <w:rsid w:val="00FE6F70"/>
    <w:rsid w:val="0134791B"/>
    <w:rsid w:val="0BF75E34"/>
    <w:rsid w:val="22171D8D"/>
    <w:rsid w:val="29661EE8"/>
    <w:rsid w:val="2E445A3C"/>
    <w:rsid w:val="31210C61"/>
    <w:rsid w:val="41954BF9"/>
    <w:rsid w:val="534B48D7"/>
    <w:rsid w:val="545952F2"/>
    <w:rsid w:val="56A80039"/>
    <w:rsid w:val="77CC0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uiPriority w:val="0"/>
    <w:pPr>
      <w:ind w:left="851"/>
    </w:pPr>
  </w:style>
  <w:style w:type="paragraph" w:styleId="30">
    <w:name w:val="List Bullet"/>
    <w:basedOn w:val="15"/>
    <w:qFormat/>
    <w:uiPriority w:val="0"/>
    <w:pPr>
      <w:ind w:left="0" w:firstLine="0"/>
    </w:pPr>
  </w:style>
  <w:style w:type="paragraph" w:styleId="31">
    <w:name w:val="index 8"/>
    <w:basedOn w:val="1"/>
    <w:next w:val="1"/>
    <w:uiPriority w:val="0"/>
    <w:pPr>
      <w:ind w:left="1600" w:hanging="200"/>
    </w:pPr>
  </w:style>
  <w:style w:type="paragraph" w:styleId="32">
    <w:name w:val="E-mail Signature"/>
    <w:basedOn w:val="1"/>
    <w:link w:val="97"/>
    <w:uiPriority w:val="0"/>
  </w:style>
  <w:style w:type="paragraph" w:styleId="33">
    <w:name w:val="Normal Indent"/>
    <w:basedOn w:val="1"/>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8"/>
    <w:uiPriority w:val="0"/>
    <w:rPr>
      <w:rFonts w:ascii="Segoe UI" w:hAnsi="Segoe UI" w:cs="Segoe UI"/>
      <w:sz w:val="16"/>
      <w:szCs w:val="16"/>
    </w:rPr>
  </w:style>
  <w:style w:type="paragraph" w:styleId="38">
    <w:name w:val="toa heading"/>
    <w:basedOn w:val="1"/>
    <w:next w:val="1"/>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uiPriority w:val="0"/>
    <w:pPr>
      <w:ind w:left="1200" w:hanging="200"/>
    </w:pPr>
  </w:style>
  <w:style w:type="paragraph" w:styleId="41">
    <w:name w:val="Salutation"/>
    <w:basedOn w:val="1"/>
    <w:next w:val="1"/>
    <w:link w:val="100"/>
    <w:uiPriority w:val="0"/>
  </w:style>
  <w:style w:type="paragraph" w:styleId="42">
    <w:name w:val="Body Text 3"/>
    <w:basedOn w:val="1"/>
    <w:link w:val="101"/>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uiPriority w:val="0"/>
    <w:pPr>
      <w:spacing w:after="120"/>
    </w:pPr>
  </w:style>
  <w:style w:type="paragraph" w:styleId="45">
    <w:name w:val="Body Text Indent"/>
    <w:basedOn w:val="1"/>
    <w:link w:val="104"/>
    <w:uiPriority w:val="0"/>
    <w:pPr>
      <w:spacing w:after="120"/>
      <w:ind w:left="283"/>
    </w:pPr>
  </w:style>
  <w:style w:type="paragraph" w:styleId="46">
    <w:name w:val="List Number 3"/>
    <w:basedOn w:val="1"/>
    <w:uiPriority w:val="0"/>
    <w:pPr>
      <w:numPr>
        <w:ilvl w:val="0"/>
        <w:numId w:val="1"/>
      </w:numPr>
      <w:contextualSpacing/>
    </w:pPr>
  </w:style>
  <w:style w:type="paragraph" w:styleId="47">
    <w:name w:val="List Continue"/>
    <w:basedOn w:val="1"/>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cs="Courier New"/>
    </w:rPr>
  </w:style>
  <w:style w:type="paragraph" w:styleId="52">
    <w:name w:val="List Bullet 5"/>
    <w:basedOn w:val="27"/>
    <w:uiPriority w:val="0"/>
    <w:pPr>
      <w:ind w:left="1702"/>
    </w:pPr>
  </w:style>
  <w:style w:type="paragraph" w:styleId="53">
    <w:name w:val="List Number 4"/>
    <w:basedOn w:val="1"/>
    <w:uiPriority w:val="0"/>
    <w:pPr>
      <w:numPr>
        <w:ilvl w:val="0"/>
        <w:numId w:val="2"/>
      </w:numPr>
      <w:contextualSpacing/>
    </w:pPr>
  </w:style>
  <w:style w:type="paragraph" w:styleId="54">
    <w:name w:val="toc 8"/>
    <w:basedOn w:val="22"/>
    <w:next w:val="1"/>
    <w:semiHidden/>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uiPriority w:val="0"/>
  </w:style>
  <w:style w:type="paragraph" w:styleId="57">
    <w:name w:val="Body Text Indent 2"/>
    <w:basedOn w:val="1"/>
    <w:link w:val="108"/>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uiPriority w:val="0"/>
    <w:pPr>
      <w:spacing w:after="120"/>
      <w:ind w:left="1415"/>
      <w:contextualSpacing/>
    </w:pPr>
  </w:style>
  <w:style w:type="paragraph" w:styleId="60">
    <w:name w:val="Balloon Text"/>
    <w:basedOn w:val="1"/>
    <w:link w:val="110"/>
    <w:semiHidden/>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3"/>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9"/>
    <w:qFormat/>
    <w:uiPriority w:val="0"/>
    <w:rPr>
      <w:b/>
      <w:bCs/>
    </w:rPr>
  </w:style>
  <w:style w:type="paragraph" w:styleId="87">
    <w:name w:val="Body Text First Indent"/>
    <w:basedOn w:val="44"/>
    <w:link w:val="120"/>
    <w:qFormat/>
    <w:uiPriority w:val="0"/>
    <w:pPr>
      <w:ind w:firstLine="210"/>
    </w:pPr>
  </w:style>
  <w:style w:type="paragraph" w:styleId="88">
    <w:name w:val="Body Text First Indent 2"/>
    <w:basedOn w:val="45"/>
    <w:link w:val="121"/>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qFormat/>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qFormat/>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qFormat/>
    <w:uiPriority w:val="0"/>
    <w:rPr>
      <w:rFonts w:ascii="Courier New" w:hAnsi="Courier New" w:cs="Courier New"/>
      <w:lang w:eastAsia="en-US"/>
    </w:rPr>
  </w:style>
  <w:style w:type="character" w:customStyle="1" w:styleId="107">
    <w:name w:val="日期 Char"/>
    <w:link w:val="56"/>
    <w:qFormat/>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批注框文本 Char"/>
    <w:link w:val="60"/>
    <w:semiHidden/>
    <w:qFormat/>
    <w:uiPriority w:val="99"/>
    <w:rPr>
      <w:rFonts w:ascii="Tahoma" w:hAnsi="Tahoma" w:cs="Tahoma"/>
      <w:sz w:val="16"/>
      <w:szCs w:val="16"/>
      <w:lang w:eastAsia="en-US"/>
    </w:rPr>
  </w:style>
  <w:style w:type="character" w:customStyle="1" w:styleId="111">
    <w:name w:val="页眉 Char"/>
    <w:link w:val="62"/>
    <w:qFormat/>
    <w:uiPriority w:val="0"/>
    <w:rPr>
      <w:rFonts w:ascii="Arial" w:hAnsi="Arial"/>
      <w:b/>
      <w:sz w:val="18"/>
      <w:lang w:eastAsia="en-US"/>
    </w:rPr>
  </w:style>
  <w:style w:type="character" w:customStyle="1" w:styleId="112">
    <w:name w:val="签名 Char"/>
    <w:link w:val="64"/>
    <w:qFormat/>
    <w:uiPriority w:val="0"/>
    <w:rPr>
      <w:rFonts w:ascii="Times New Roman" w:hAnsi="Times New Roman"/>
      <w:lang w:eastAsia="en-US"/>
    </w:rPr>
  </w:style>
  <w:style w:type="character" w:customStyle="1" w:styleId="113">
    <w:name w:val="副标题 Char"/>
    <w:link w:val="68"/>
    <w:qFormat/>
    <w:uiPriority w:val="0"/>
    <w:rPr>
      <w:rFonts w:ascii="Calibri Light" w:hAnsi="Calibri Light" w:eastAsia="Times New Roman"/>
      <w:sz w:val="24"/>
      <w:szCs w:val="24"/>
      <w:lang w:eastAsia="en-US"/>
    </w:rPr>
  </w:style>
  <w:style w:type="character" w:customStyle="1" w:styleId="114">
    <w:name w:val="正文文本缩进 3 Char"/>
    <w:link w:val="73"/>
    <w:qFormat/>
    <w:uiPriority w:val="0"/>
    <w:rPr>
      <w:rFonts w:ascii="Times New Roman" w:hAnsi="Times New Roman"/>
      <w:sz w:val="16"/>
      <w:szCs w:val="16"/>
      <w:lang w:eastAsia="en-US"/>
    </w:rPr>
  </w:style>
  <w:style w:type="character" w:customStyle="1" w:styleId="115">
    <w:name w:val="正文文本 2 Char"/>
    <w:link w:val="78"/>
    <w:qFormat/>
    <w:uiPriority w:val="0"/>
    <w:rPr>
      <w:rFonts w:ascii="Times New Roman" w:hAnsi="Times New Roman"/>
      <w:lang w:eastAsia="en-US"/>
    </w:rPr>
  </w:style>
  <w:style w:type="character" w:customStyle="1" w:styleId="116">
    <w:name w:val="信息标题 Char"/>
    <w:link w:val="80"/>
    <w:qFormat/>
    <w:uiPriority w:val="0"/>
    <w:rPr>
      <w:rFonts w:ascii="Calibri Light" w:hAnsi="Calibri Light" w:eastAsia="Times New Roman"/>
      <w:sz w:val="24"/>
      <w:szCs w:val="24"/>
      <w:shd w:val="pct20" w:color="auto" w:fill="auto"/>
      <w:lang w:eastAsia="en-US"/>
    </w:rPr>
  </w:style>
  <w:style w:type="character" w:customStyle="1" w:styleId="117">
    <w:name w:val="HTML 预设格式 Char"/>
    <w:link w:val="81"/>
    <w:qFormat/>
    <w:uiPriority w:val="0"/>
    <w:rPr>
      <w:rFonts w:ascii="Courier New" w:hAnsi="Courier New" w:cs="Courier New"/>
      <w:lang w:eastAsia="en-US"/>
    </w:rPr>
  </w:style>
  <w:style w:type="character" w:customStyle="1" w:styleId="118">
    <w:name w:val="标题 Char"/>
    <w:link w:val="85"/>
    <w:qFormat/>
    <w:uiPriority w:val="0"/>
    <w:rPr>
      <w:rFonts w:ascii="Calibri Light" w:hAnsi="Calibri Light" w:eastAsia="Times New Roman"/>
      <w:b/>
      <w:bCs/>
      <w:kern w:val="28"/>
      <w:sz w:val="32"/>
      <w:szCs w:val="32"/>
      <w:lang w:eastAsia="en-US"/>
    </w:rPr>
  </w:style>
  <w:style w:type="character" w:customStyle="1" w:styleId="119">
    <w:name w:val="批注主题 Char"/>
    <w:link w:val="86"/>
    <w:qFormat/>
    <w:uiPriority w:val="0"/>
    <w:rPr>
      <w:rFonts w:ascii="Times New Roman" w:hAnsi="Times New Roman"/>
      <w:b/>
      <w:bCs/>
      <w:lang w:eastAsia="en-US"/>
    </w:rPr>
  </w:style>
  <w:style w:type="character" w:customStyle="1" w:styleId="120">
    <w:name w:val="正文首行缩进 Char"/>
    <w:basedOn w:val="103"/>
    <w:link w:val="87"/>
    <w:qFormat/>
    <w:uiPriority w:val="0"/>
    <w:rPr>
      <w:rFonts w:ascii="Times New Roman" w:hAnsi="Times New Roman"/>
      <w:lang w:eastAsia="en-US"/>
    </w:rPr>
  </w:style>
  <w:style w:type="character" w:customStyle="1" w:styleId="121">
    <w:name w:val="正文首行缩进 2 Char"/>
    <w:basedOn w:val="104"/>
    <w:link w:val="88"/>
    <w:qFormat/>
    <w:uiPriority w:val="0"/>
    <w:rPr>
      <w:rFonts w:ascii="Times New Roman" w:hAnsi="Times New Roman"/>
      <w:lang w:eastAsia="en-US"/>
    </w:rPr>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T"/>
    <w:basedOn w:val="3"/>
    <w:next w:val="1"/>
    <w:qFormat/>
    <w:uiPriority w:val="0"/>
    <w:pPr>
      <w:outlineLvl w:val="9"/>
    </w:pPr>
  </w:style>
  <w:style w:type="paragraph" w:customStyle="1" w:styleId="125">
    <w:name w:val="TAH"/>
    <w:basedOn w:val="126"/>
    <w:qFormat/>
    <w:uiPriority w:val="0"/>
    <w:rPr>
      <w:b/>
    </w:rPr>
  </w:style>
  <w:style w:type="paragraph" w:customStyle="1" w:styleId="126">
    <w:name w:val="TAC"/>
    <w:basedOn w:val="127"/>
    <w:qFormat/>
    <w:uiPriority w:val="0"/>
    <w:pPr>
      <w:jc w:val="center"/>
    </w:pPr>
  </w:style>
  <w:style w:type="paragraph" w:customStyle="1" w:styleId="127">
    <w:name w:val="TAL"/>
    <w:basedOn w:val="1"/>
    <w:qFormat/>
    <w:uiPriority w:val="0"/>
    <w:pPr>
      <w:keepNext/>
      <w:keepLines/>
      <w:spacing w:after="0"/>
    </w:pPr>
    <w:rPr>
      <w:rFonts w:ascii="Arial" w:hAnsi="Arial"/>
      <w:sz w:val="18"/>
    </w:rPr>
  </w:style>
  <w:style w:type="paragraph" w:customStyle="1" w:styleId="128">
    <w:name w:val="TF"/>
    <w:basedOn w:val="129"/>
    <w:qFormat/>
    <w:uiPriority w:val="0"/>
    <w:pPr>
      <w:keepNext w:val="0"/>
      <w:spacing w:before="0" w:after="240"/>
    </w:pPr>
  </w:style>
  <w:style w:type="paragraph" w:customStyle="1" w:styleId="129">
    <w:name w:val="TH"/>
    <w:basedOn w:val="1"/>
    <w:qFormat/>
    <w:uiPriority w:val="0"/>
    <w:pPr>
      <w:keepNext/>
      <w:keepLines/>
      <w:spacing w:before="60"/>
      <w:jc w:val="center"/>
    </w:pPr>
    <w:rPr>
      <w:rFonts w:ascii="Arial" w:hAnsi="Arial"/>
      <w:b/>
    </w:rPr>
  </w:style>
  <w:style w:type="paragraph" w:customStyle="1" w:styleId="130">
    <w:name w:val="NO"/>
    <w:basedOn w:val="1"/>
    <w:link w:val="169"/>
    <w:qFormat/>
    <w:uiPriority w:val="0"/>
    <w:pPr>
      <w:keepLines/>
      <w:ind w:left="1135" w:hanging="851"/>
    </w:pPr>
  </w:style>
  <w:style w:type="paragraph" w:customStyle="1" w:styleId="131">
    <w:name w:val="EX"/>
    <w:basedOn w:val="1"/>
    <w:qFormat/>
    <w:uiPriority w:val="0"/>
    <w:pPr>
      <w:keepLines/>
      <w:ind w:left="1702" w:hanging="1418"/>
    </w:pPr>
  </w:style>
  <w:style w:type="paragraph" w:customStyle="1" w:styleId="132">
    <w:name w:val="FP"/>
    <w:basedOn w:val="1"/>
    <w:qFormat/>
    <w:uiPriority w:val="0"/>
    <w:pPr>
      <w:spacing w:after="0"/>
    </w:pPr>
  </w:style>
  <w:style w:type="paragraph" w:customStyle="1" w:styleId="13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4">
    <w:name w:val="NW"/>
    <w:basedOn w:val="130"/>
    <w:qFormat/>
    <w:uiPriority w:val="0"/>
    <w:pPr>
      <w:spacing w:after="0"/>
    </w:pPr>
  </w:style>
  <w:style w:type="paragraph" w:customStyle="1" w:styleId="135">
    <w:name w:val="EW"/>
    <w:basedOn w:val="131"/>
    <w:qFormat/>
    <w:uiPriority w:val="0"/>
    <w:pPr>
      <w:spacing w:after="0"/>
    </w:pPr>
  </w:style>
  <w:style w:type="paragraph" w:customStyle="1" w:styleId="136">
    <w:name w:val="EQ"/>
    <w:basedOn w:val="1"/>
    <w:next w:val="1"/>
    <w:qFormat/>
    <w:uiPriority w:val="0"/>
    <w:pPr>
      <w:keepLines/>
      <w:tabs>
        <w:tab w:val="center" w:pos="4536"/>
        <w:tab w:val="right" w:pos="9072"/>
      </w:tabs>
    </w:pPr>
  </w:style>
  <w:style w:type="paragraph" w:customStyle="1" w:styleId="137">
    <w:name w:val="NF"/>
    <w:basedOn w:val="130"/>
    <w:qFormat/>
    <w:uiPriority w:val="0"/>
    <w:pPr>
      <w:keepNext/>
      <w:spacing w:after="0"/>
    </w:pPr>
    <w:rPr>
      <w:rFonts w:ascii="Arial" w:hAnsi="Arial"/>
      <w:sz w:val="18"/>
    </w:rPr>
  </w:style>
  <w:style w:type="paragraph" w:customStyle="1" w:styleId="1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39">
    <w:name w:val="TAR"/>
    <w:basedOn w:val="127"/>
    <w:qFormat/>
    <w:uiPriority w:val="0"/>
    <w:pPr>
      <w:jc w:val="right"/>
    </w:pPr>
  </w:style>
  <w:style w:type="paragraph" w:customStyle="1" w:styleId="140">
    <w:name w:val="TAN"/>
    <w:basedOn w:val="127"/>
    <w:qFormat/>
    <w:uiPriority w:val="0"/>
    <w:pPr>
      <w:ind w:left="851" w:hanging="851"/>
    </w:pPr>
  </w:style>
  <w:style w:type="paragraph" w:customStyle="1" w:styleId="14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5">
    <w:name w:val="ZV"/>
    <w:basedOn w:val="144"/>
    <w:qFormat/>
    <w:uiPriority w:val="0"/>
    <w:pPr>
      <w:framePr w:y="16161"/>
    </w:pPr>
  </w:style>
  <w:style w:type="character" w:customStyle="1" w:styleId="146">
    <w:name w:val="ZGSM"/>
    <w:qFormat/>
    <w:uiPriority w:val="0"/>
  </w:style>
  <w:style w:type="paragraph" w:customStyle="1" w:styleId="14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8">
    <w:name w:val="Editor's Note"/>
    <w:basedOn w:val="130"/>
    <w:qFormat/>
    <w:uiPriority w:val="0"/>
    <w:rPr>
      <w:color w:val="FF0000"/>
    </w:rPr>
  </w:style>
  <w:style w:type="paragraph" w:customStyle="1" w:styleId="149">
    <w:name w:val="B1"/>
    <w:basedOn w:val="15"/>
    <w:link w:val="150"/>
    <w:qFormat/>
    <w:uiPriority w:val="0"/>
  </w:style>
  <w:style w:type="character" w:customStyle="1" w:styleId="150">
    <w:name w:val="B1 Char"/>
    <w:link w:val="149"/>
    <w:qFormat/>
    <w:locked/>
    <w:uiPriority w:val="0"/>
    <w:rPr>
      <w:rFonts w:ascii="Times New Roman" w:hAnsi="Times New Roman"/>
      <w:lang w:val="en-GB" w:eastAsia="en-US"/>
    </w:rPr>
  </w:style>
  <w:style w:type="paragraph" w:customStyle="1" w:styleId="151">
    <w:name w:val="B2"/>
    <w:basedOn w:val="14"/>
    <w:qFormat/>
    <w:uiPriority w:val="0"/>
  </w:style>
  <w:style w:type="paragraph" w:customStyle="1" w:styleId="152">
    <w:name w:val="B3"/>
    <w:basedOn w:val="13"/>
    <w:qFormat/>
    <w:uiPriority w:val="0"/>
  </w:style>
  <w:style w:type="paragraph" w:customStyle="1" w:styleId="153">
    <w:name w:val="B4"/>
    <w:basedOn w:val="72"/>
    <w:qFormat/>
    <w:uiPriority w:val="0"/>
  </w:style>
  <w:style w:type="paragraph" w:customStyle="1" w:styleId="154">
    <w:name w:val="B5"/>
    <w:basedOn w:val="71"/>
    <w:qFormat/>
    <w:uiPriority w:val="0"/>
  </w:style>
  <w:style w:type="paragraph" w:customStyle="1" w:styleId="155">
    <w:name w:val="ZTD"/>
    <w:basedOn w:val="142"/>
    <w:qFormat/>
    <w:uiPriority w:val="0"/>
    <w:pPr>
      <w:framePr w:hRule="auto" w:y="852"/>
    </w:pPr>
    <w:rPr>
      <w:i w:val="0"/>
      <w:sz w:val="40"/>
    </w:rPr>
  </w:style>
  <w:style w:type="paragraph" w:customStyle="1" w:styleId="156">
    <w:name w:val="CR Cover Page"/>
    <w:qFormat/>
    <w:uiPriority w:val="0"/>
    <w:pPr>
      <w:spacing w:after="120"/>
    </w:pPr>
    <w:rPr>
      <w:rFonts w:ascii="Arial" w:hAnsi="Arial" w:eastAsia="宋体" w:cs="Times New Roman"/>
      <w:lang w:val="en-GB" w:eastAsia="en-US" w:bidi="ar-SA"/>
    </w:rPr>
  </w:style>
  <w:style w:type="paragraph" w:customStyle="1" w:styleId="157">
    <w:name w:val="tdoc-header"/>
    <w:qFormat/>
    <w:uiPriority w:val="0"/>
    <w:rPr>
      <w:rFonts w:ascii="Arial" w:hAnsi="Arial" w:eastAsia="宋体" w:cs="Times New Roman"/>
      <w:sz w:val="24"/>
      <w:lang w:val="en-GB" w:eastAsia="en-US" w:bidi="ar-SA"/>
    </w:rPr>
  </w:style>
  <w:style w:type="paragraph" w:customStyle="1" w:styleId="158">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59">
    <w:name w:val="msoins"/>
    <w:basedOn w:val="90"/>
    <w:qFormat/>
    <w:uiPriority w:val="0"/>
  </w:style>
  <w:style w:type="paragraph" w:customStyle="1" w:styleId="160">
    <w:name w:val="Reference"/>
    <w:basedOn w:val="1"/>
    <w:qFormat/>
    <w:uiPriority w:val="0"/>
    <w:pPr>
      <w:tabs>
        <w:tab w:val="left" w:pos="851"/>
      </w:tabs>
      <w:ind w:left="851" w:hanging="851"/>
    </w:pPr>
  </w:style>
  <w:style w:type="paragraph" w:customStyle="1" w:styleId="161">
    <w:name w:val="_Style 160"/>
    <w:basedOn w:val="1"/>
    <w:next w:val="1"/>
    <w:unhideWhenUsed/>
    <w:qFormat/>
    <w:uiPriority w:val="37"/>
  </w:style>
  <w:style w:type="paragraph" w:styleId="162">
    <w:name w:val="Intense Quote"/>
    <w:basedOn w:val="1"/>
    <w:next w:val="1"/>
    <w:link w:val="16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3">
    <w:name w:val="明显引用 Char"/>
    <w:link w:val="162"/>
    <w:qFormat/>
    <w:uiPriority w:val="30"/>
    <w:rPr>
      <w:rFonts w:ascii="Times New Roman" w:hAnsi="Times New Roman"/>
      <w:i/>
      <w:iCs/>
      <w:color w:val="4472C4"/>
      <w:lang w:eastAsia="en-US"/>
    </w:rPr>
  </w:style>
  <w:style w:type="paragraph" w:styleId="164">
    <w:name w:val="List Paragraph"/>
    <w:basedOn w:val="1"/>
    <w:qFormat/>
    <w:uiPriority w:val="34"/>
    <w:pPr>
      <w:ind w:left="720"/>
    </w:pPr>
  </w:style>
  <w:style w:type="paragraph" w:styleId="165">
    <w:name w:val="No Spacing"/>
    <w:qFormat/>
    <w:uiPriority w:val="1"/>
    <w:rPr>
      <w:rFonts w:ascii="Times New Roman" w:hAnsi="Times New Roman" w:eastAsia="宋体" w:cs="Times New Roman"/>
      <w:lang w:val="en-GB" w:eastAsia="en-US" w:bidi="ar-SA"/>
    </w:rPr>
  </w:style>
  <w:style w:type="paragraph" w:styleId="166">
    <w:name w:val="Quote"/>
    <w:basedOn w:val="1"/>
    <w:next w:val="1"/>
    <w:link w:val="167"/>
    <w:qFormat/>
    <w:uiPriority w:val="29"/>
    <w:pPr>
      <w:spacing w:before="200" w:after="160"/>
      <w:ind w:left="864" w:right="864"/>
      <w:jc w:val="center"/>
    </w:pPr>
    <w:rPr>
      <w:i/>
      <w:iCs/>
      <w:color w:val="404040"/>
    </w:rPr>
  </w:style>
  <w:style w:type="character" w:customStyle="1" w:styleId="167">
    <w:name w:val="引用 Char"/>
    <w:link w:val="166"/>
    <w:qFormat/>
    <w:uiPriority w:val="29"/>
    <w:rPr>
      <w:rFonts w:ascii="Times New Roman" w:hAnsi="Times New Roman"/>
      <w:i/>
      <w:iCs/>
      <w:color w:val="404040"/>
      <w:lang w:eastAsia="en-US"/>
    </w:rPr>
  </w:style>
  <w:style w:type="paragraph" w:customStyle="1" w:styleId="168">
    <w:name w:val="_Style 167"/>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NO Zchn"/>
    <w:link w:val="130"/>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221D440-29C1-47CC-9225-30A175D4E3F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764</Words>
  <Characters>4357</Characters>
  <Lines>36</Lines>
  <Paragraphs>10</Paragraphs>
  <TotalTime>0</TotalTime>
  <ScaleCrop>false</ScaleCrop>
  <LinksUpToDate>false</LinksUpToDate>
  <CharactersWithSpaces>5111</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2024-01-05T07:55:00Z</dcterms:created>
  <dc:creator>Michael Sanders, John M Meredith</dc:creator>
  <cp:lastModifiedBy>孙明锐</cp:lastModifiedBy>
  <dcterms:modified xsi:type="dcterms:W3CDTF">2024-01-19T09:17:58Z</dcterms:modified>
  <dc:title>3GPP Contribution</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2052-11.8.2.11824</vt:lpwstr>
  </property>
  <property fmtid="{D5CDD505-2E9C-101B-9397-08002B2CF9AE}" pid="4" name="ICV">
    <vt:lpwstr>9FD6DD53136544F9B7D74BBCB26C3423</vt:lpwstr>
  </property>
  <property fmtid="{D5CDD505-2E9C-101B-9397-08002B2CF9AE}" pid="5" name="_2015_ms_pID_725343">
    <vt:lpwstr>(2)LCcrETGlHKf/FXlltvieGK2SMG4uW2gD/yHbXJ1tiUnBnWR9/5u6j2VdYwbz6XCuudv75KHK
cNBsoY6dDtliNwd9jJAJm7RV+cFeliajGPTzNLNSHDrH0XM7LMiVOWKYmTd/ohiOUiGYmTq4
7McaCkA2H7q7TeH15Aa+4UYz/XdHiAUIGMchCdy3VhyurqY5+PR7q5wzqwMCiWccoomc3/wn
lbxXS3l2b7eca7nvDS</vt:lpwstr>
  </property>
  <property fmtid="{D5CDD505-2E9C-101B-9397-08002B2CF9AE}" pid="6" name="_2015_ms_pID_7253431">
    <vt:lpwstr>yLEUL6XA/sB5CfXEB03pG4QlR+ooJaBo4gsrledtTvzSPv+tPG+Oan
Q5zMMuUGVEBDpVQAX+kbT3iDK6eRfuQQXnlitdSa3MLOicuctC2UZyi9BnzfQlJzQSBlupoS
tSuz4QLCwlJg2E1ZecDQTNfR7+B+hXuXn1ORf+9et9hAghdlZaQM1dRx9GZAxkZ6h0U=</vt:lpwstr>
  </property>
</Properties>
</file>